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附件4</w:t>
      </w:r>
    </w:p>
    <w:p>
      <w:pPr>
        <w:ind w:firstLine="480" w:firstLineChars="200"/>
        <w:rPr>
          <w:color w:val="000000"/>
          <w:sz w:val="24"/>
        </w:rPr>
      </w:pP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法律监督事项立案决定书</w:t>
      </w:r>
    </w:p>
    <w:p>
      <w:pPr>
        <w:adjustRightInd w:val="0"/>
        <w:snapToGrid w:val="0"/>
        <w:spacing w:line="64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  部门）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立20第号</w:t>
      </w:r>
    </w:p>
    <w:p>
      <w:pPr>
        <w:adjustRightInd w:val="0"/>
        <w:snapToGrid w:val="0"/>
        <w:spacing w:line="320" w:lineRule="exact"/>
        <w:ind w:firstLine="480" w:firstLineChars="200"/>
        <w:outlineLvl w:val="0"/>
        <w:rPr>
          <w:rFonts w:eastAsia="仿宋"/>
          <w:color w:val="000000"/>
          <w:sz w:val="24"/>
        </w:rPr>
      </w:pP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根据《中华人民共和国诉讼法》第条的规定，本院决定对法律监督事项进行立案调查。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wordWrap w:val="0"/>
        <w:spacing w:line="640" w:lineRule="exact"/>
        <w:ind w:right="971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检察长</w:t>
      </w:r>
      <w:r>
        <w:rPr>
          <w:color w:val="000000"/>
          <w:sz w:val="32"/>
          <w:szCs w:val="32"/>
        </w:rPr>
        <w:t>：</w:t>
      </w:r>
    </w:p>
    <w:p>
      <w:pPr>
        <w:spacing w:line="640" w:lineRule="exact"/>
        <w:ind w:right="930" w:rightChars="31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年月日</w:t>
      </w:r>
    </w:p>
    <w:p>
      <w:pPr>
        <w:spacing w:line="640" w:lineRule="exact"/>
        <w:ind w:right="930" w:rightChars="310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（院印）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378D617B"/>
    <w:rsid w:val="5F4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